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488" w:rsidRDefault="003974ED">
      <w:bookmarkStart w:id="0" w:name="_GoBack"/>
      <w:bookmarkEnd w:id="0"/>
      <w:r>
        <w:t>Kochani!</w:t>
      </w:r>
    </w:p>
    <w:p w:rsidR="003974ED" w:rsidRDefault="0087034E">
      <w:r>
        <w:t>W poniższym linku</w:t>
      </w:r>
      <w:r w:rsidR="003974ED">
        <w:t xml:space="preserve"> znajdziecie niezbędne informacje dotyczące tegorocznej olimpiady z języka polskiego. Zachęcamy do wzięcia w niej udziału.</w:t>
      </w:r>
    </w:p>
    <w:p w:rsidR="0087034E" w:rsidRDefault="007B167F" w:rsidP="0087034E">
      <w:hyperlink r:id="rId5" w:history="1">
        <w:r w:rsidR="0087034E" w:rsidRPr="001602F6">
          <w:rPr>
            <w:rStyle w:val="Hipercze"/>
          </w:rPr>
          <w:t>https://www.olijp.pl/?q=node/4310</w:t>
        </w:r>
      </w:hyperlink>
    </w:p>
    <w:p w:rsidR="0087034E" w:rsidRDefault="0087034E" w:rsidP="0087034E">
      <w:r>
        <w:t>Tematy pracy pisemnej:</w:t>
      </w:r>
    </w:p>
    <w:p w:rsidR="0087034E" w:rsidRPr="0087034E" w:rsidRDefault="0087034E" w:rsidP="0087034E">
      <w:pPr>
        <w:pStyle w:val="NormalnyWeb"/>
        <w:spacing w:before="360" w:beforeAutospacing="0" w:after="360" w:afterAutospacing="0"/>
        <w:rPr>
          <w:rFonts w:ascii="Verdana" w:hAnsi="Verdana"/>
        </w:rPr>
      </w:pPr>
      <w:r w:rsidRPr="0087034E">
        <w:rPr>
          <w:rFonts w:ascii="Verdana" w:hAnsi="Verdana"/>
        </w:rPr>
        <w:t>1. </w:t>
      </w:r>
      <w:hyperlink r:id="rId6" w:history="1">
        <w:r w:rsidRPr="0087034E">
          <w:rPr>
            <w:rStyle w:val="Hipercze"/>
            <w:color w:val="auto"/>
            <w:u w:val="none"/>
          </w:rPr>
          <w:t xml:space="preserve">Poeta jako „homo </w:t>
        </w:r>
        <w:proofErr w:type="spellStart"/>
        <w:r w:rsidRPr="0087034E">
          <w:rPr>
            <w:rStyle w:val="Hipercze"/>
            <w:color w:val="auto"/>
            <w:u w:val="none"/>
          </w:rPr>
          <w:t>imaginativus</w:t>
        </w:r>
        <w:proofErr w:type="spellEnd"/>
        <w:r w:rsidRPr="0087034E">
          <w:rPr>
            <w:rStyle w:val="Hipercze"/>
            <w:color w:val="auto"/>
            <w:u w:val="none"/>
          </w:rPr>
          <w:t>”. Kategoria wyobraźni w poezji polskiej epoki renesansu i baroku.</w:t>
        </w:r>
      </w:hyperlink>
    </w:p>
    <w:p w:rsidR="0087034E" w:rsidRPr="0087034E" w:rsidRDefault="0087034E" w:rsidP="0087034E">
      <w:pPr>
        <w:pStyle w:val="NormalnyWeb"/>
        <w:spacing w:before="360" w:beforeAutospacing="0" w:after="360" w:afterAutospacing="0"/>
        <w:rPr>
          <w:rFonts w:ascii="Verdana" w:hAnsi="Verdana"/>
        </w:rPr>
      </w:pPr>
      <w:r w:rsidRPr="0087034E">
        <w:rPr>
          <w:rFonts w:ascii="Verdana" w:hAnsi="Verdana"/>
        </w:rPr>
        <w:t>2. </w:t>
      </w:r>
      <w:hyperlink r:id="rId7" w:history="1">
        <w:r w:rsidRPr="0087034E">
          <w:rPr>
            <w:rStyle w:val="Hipercze"/>
            <w:color w:val="auto"/>
            <w:u w:val="none"/>
          </w:rPr>
          <w:t>Od Homera do Tolkiena… i dalej. </w:t>
        </w:r>
        <w:r w:rsidRPr="0087034E">
          <w:rPr>
            <w:rStyle w:val="Uwydatnienie"/>
          </w:rPr>
          <w:t>Fantasy</w:t>
        </w:r>
        <w:r w:rsidRPr="0087034E">
          <w:rPr>
            <w:rStyle w:val="Hipercze"/>
            <w:color w:val="auto"/>
            <w:u w:val="none"/>
          </w:rPr>
          <w:t> i gatunkowe tradycje eposu.</w:t>
        </w:r>
      </w:hyperlink>
    </w:p>
    <w:p w:rsidR="0087034E" w:rsidRPr="0087034E" w:rsidRDefault="0087034E" w:rsidP="0087034E">
      <w:pPr>
        <w:pStyle w:val="NormalnyWeb"/>
        <w:spacing w:before="360" w:beforeAutospacing="0" w:after="360" w:afterAutospacing="0"/>
        <w:rPr>
          <w:rFonts w:ascii="Verdana" w:hAnsi="Verdana"/>
        </w:rPr>
      </w:pPr>
      <w:r w:rsidRPr="0087034E">
        <w:rPr>
          <w:rFonts w:ascii="Verdana" w:hAnsi="Verdana"/>
        </w:rPr>
        <w:t>3. </w:t>
      </w:r>
      <w:hyperlink r:id="rId8" w:history="1">
        <w:r w:rsidRPr="0087034E">
          <w:rPr>
            <w:rStyle w:val="Hipercze"/>
            <w:color w:val="auto"/>
            <w:u w:val="none"/>
          </w:rPr>
          <w:t>W świecie romantycznego salonu (Mickiewicz – Norwid).</w:t>
        </w:r>
      </w:hyperlink>
    </w:p>
    <w:p w:rsidR="0087034E" w:rsidRPr="0087034E" w:rsidRDefault="0087034E" w:rsidP="0087034E">
      <w:pPr>
        <w:pStyle w:val="NormalnyWeb"/>
        <w:spacing w:before="360" w:beforeAutospacing="0" w:after="360" w:afterAutospacing="0"/>
        <w:rPr>
          <w:rFonts w:ascii="Verdana" w:hAnsi="Verdana"/>
        </w:rPr>
      </w:pPr>
      <w:r w:rsidRPr="0087034E">
        <w:rPr>
          <w:rFonts w:ascii="Verdana" w:hAnsi="Verdana"/>
        </w:rPr>
        <w:t>4. </w:t>
      </w:r>
      <w:hyperlink r:id="rId9" w:history="1">
        <w:r w:rsidRPr="0087034E">
          <w:rPr>
            <w:rStyle w:val="Hipercze"/>
            <w:color w:val="auto"/>
            <w:u w:val="none"/>
          </w:rPr>
          <w:t>Polska powieść historyczna między XIX a XXI wiekiem – jej formy, przemiany i znaczenia</w:t>
        </w:r>
      </w:hyperlink>
      <w:hyperlink r:id="rId10" w:history="1">
        <w:r w:rsidRPr="0087034E">
          <w:rPr>
            <w:rStyle w:val="Hipercze"/>
            <w:color w:val="auto"/>
            <w:u w:val="none"/>
          </w:rPr>
          <w:t>.</w:t>
        </w:r>
      </w:hyperlink>
    </w:p>
    <w:p w:rsidR="0087034E" w:rsidRPr="0087034E" w:rsidRDefault="0087034E" w:rsidP="0087034E">
      <w:pPr>
        <w:pStyle w:val="NormalnyWeb"/>
        <w:spacing w:before="360" w:beforeAutospacing="0" w:after="360" w:afterAutospacing="0"/>
        <w:rPr>
          <w:rFonts w:ascii="Verdana" w:hAnsi="Verdana"/>
        </w:rPr>
      </w:pPr>
      <w:r w:rsidRPr="0087034E">
        <w:rPr>
          <w:rFonts w:ascii="Verdana" w:hAnsi="Verdana"/>
        </w:rPr>
        <w:t>5. </w:t>
      </w:r>
      <w:hyperlink r:id="rId11" w:history="1">
        <w:r w:rsidRPr="0087034E">
          <w:rPr>
            <w:rStyle w:val="Hipercze"/>
            <w:color w:val="auto"/>
            <w:u w:val="none"/>
          </w:rPr>
          <w:t>Gwara w powieści dawnej i współczesnej.</w:t>
        </w:r>
      </w:hyperlink>
    </w:p>
    <w:p w:rsidR="0087034E" w:rsidRPr="0087034E" w:rsidRDefault="0087034E" w:rsidP="0087034E">
      <w:pPr>
        <w:pStyle w:val="NormalnyWeb"/>
        <w:spacing w:before="360" w:beforeAutospacing="0" w:after="360" w:afterAutospacing="0"/>
        <w:rPr>
          <w:rFonts w:ascii="Verdana" w:hAnsi="Verdana"/>
        </w:rPr>
      </w:pPr>
      <w:r w:rsidRPr="0087034E">
        <w:rPr>
          <w:rFonts w:ascii="Verdana" w:hAnsi="Verdana"/>
        </w:rPr>
        <w:t>6. </w:t>
      </w:r>
      <w:hyperlink r:id="rId12" w:history="1">
        <w:r w:rsidRPr="0087034E">
          <w:rPr>
            <w:rStyle w:val="Hipercze"/>
            <w:color w:val="auto"/>
            <w:u w:val="none"/>
          </w:rPr>
          <w:t>Pisarze paryskiej „Kultury”.</w:t>
        </w:r>
      </w:hyperlink>
    </w:p>
    <w:p w:rsidR="0087034E" w:rsidRPr="0087034E" w:rsidRDefault="0087034E" w:rsidP="0087034E">
      <w:pPr>
        <w:pStyle w:val="NormalnyWeb"/>
        <w:spacing w:before="360" w:beforeAutospacing="0" w:after="360" w:afterAutospacing="0"/>
        <w:rPr>
          <w:rFonts w:ascii="Verdana" w:hAnsi="Verdana"/>
        </w:rPr>
      </w:pPr>
      <w:r w:rsidRPr="0087034E">
        <w:rPr>
          <w:rStyle w:val="Pogrubienie"/>
          <w:rFonts w:ascii="Verdana" w:hAnsi="Verdana"/>
        </w:rPr>
        <w:t>Język</w:t>
      </w:r>
    </w:p>
    <w:p w:rsidR="0087034E" w:rsidRPr="0087034E" w:rsidRDefault="0087034E" w:rsidP="0087034E">
      <w:pPr>
        <w:pStyle w:val="NormalnyWeb"/>
        <w:spacing w:before="360" w:beforeAutospacing="0" w:after="360" w:afterAutospacing="0"/>
        <w:rPr>
          <w:rFonts w:ascii="Verdana" w:hAnsi="Verdana"/>
        </w:rPr>
      </w:pPr>
      <w:r w:rsidRPr="0087034E">
        <w:rPr>
          <w:rFonts w:ascii="Verdana" w:hAnsi="Verdana"/>
        </w:rPr>
        <w:t>7. </w:t>
      </w:r>
      <w:hyperlink r:id="rId13" w:history="1">
        <w:r w:rsidRPr="0087034E">
          <w:rPr>
            <w:rStyle w:val="Uwydatnienie"/>
          </w:rPr>
          <w:t>Im dalej w las, tym więcej drzew. </w:t>
        </w:r>
        <w:r w:rsidRPr="0087034E">
          <w:rPr>
            <w:rStyle w:val="Hipercze"/>
            <w:color w:val="auto"/>
            <w:u w:val="none"/>
          </w:rPr>
          <w:t>Obraz lasu i środowiska leśnego w polszczyźnie.</w:t>
        </w:r>
      </w:hyperlink>
    </w:p>
    <w:p w:rsidR="0087034E" w:rsidRPr="0087034E" w:rsidRDefault="0087034E" w:rsidP="0087034E">
      <w:pPr>
        <w:pStyle w:val="NormalnyWeb"/>
        <w:spacing w:before="360" w:beforeAutospacing="0" w:after="360" w:afterAutospacing="0"/>
        <w:rPr>
          <w:rFonts w:ascii="Verdana" w:hAnsi="Verdana"/>
        </w:rPr>
      </w:pPr>
      <w:r w:rsidRPr="0087034E">
        <w:rPr>
          <w:rStyle w:val="Pogrubienie"/>
          <w:rFonts w:ascii="Verdana" w:hAnsi="Verdana"/>
        </w:rPr>
        <w:t>Teatr</w:t>
      </w:r>
    </w:p>
    <w:p w:rsidR="0087034E" w:rsidRPr="0087034E" w:rsidRDefault="0087034E" w:rsidP="0087034E">
      <w:pPr>
        <w:pStyle w:val="NormalnyWeb"/>
        <w:spacing w:before="360" w:beforeAutospacing="0" w:after="360" w:afterAutospacing="0"/>
        <w:rPr>
          <w:rFonts w:ascii="Verdana" w:hAnsi="Verdana"/>
        </w:rPr>
      </w:pPr>
      <w:r w:rsidRPr="0087034E">
        <w:rPr>
          <w:rFonts w:ascii="Verdana" w:hAnsi="Verdana"/>
        </w:rPr>
        <w:t>8. </w:t>
      </w:r>
      <w:hyperlink r:id="rId14" w:history="1">
        <w:r w:rsidRPr="0087034E">
          <w:rPr>
            <w:rStyle w:val="Hipercze"/>
            <w:color w:val="auto"/>
            <w:u w:val="none"/>
          </w:rPr>
          <w:t>Obecność tematu Holocaustu w teatrze polskim. </w:t>
        </w:r>
      </w:hyperlink>
    </w:p>
    <w:p w:rsidR="0087034E" w:rsidRDefault="0087034E" w:rsidP="0087034E">
      <w:pPr>
        <w:pStyle w:val="NormalnyWeb"/>
        <w:spacing w:before="360" w:beforeAutospacing="0" w:after="360" w:afterAutospacing="0"/>
        <w:rPr>
          <w:rFonts w:ascii="Verdana" w:hAnsi="Verdana"/>
          <w:color w:val="000000"/>
        </w:rPr>
      </w:pPr>
      <w:r w:rsidRPr="0087034E">
        <w:rPr>
          <w:rFonts w:ascii="Verdana" w:hAnsi="Verdana"/>
        </w:rPr>
        <w:t>9. </w:t>
      </w:r>
      <w:hyperlink r:id="rId15" w:history="1">
        <w:r w:rsidRPr="0087034E">
          <w:rPr>
            <w:rStyle w:val="Hipercze"/>
            <w:color w:val="auto"/>
            <w:u w:val="none"/>
          </w:rPr>
          <w:t>Odwilż w teatrze polskim II połowy lat 50. XX w.</w:t>
        </w:r>
      </w:hyperlink>
      <w:r>
        <w:rPr>
          <w:rFonts w:ascii="Verdana" w:hAnsi="Verdana"/>
          <w:color w:val="000000"/>
        </w:rPr>
        <w:t> </w:t>
      </w:r>
    </w:p>
    <w:p w:rsidR="0087034E" w:rsidRDefault="0087034E" w:rsidP="0087034E">
      <w:pPr>
        <w:pStyle w:val="NormalnyWeb"/>
        <w:spacing w:before="360" w:beforeAutospacing="0" w:after="36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:rsidR="0087034E" w:rsidRDefault="0087034E"/>
    <w:sectPr w:rsidR="00870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4ED"/>
    <w:rsid w:val="003974ED"/>
    <w:rsid w:val="007B167F"/>
    <w:rsid w:val="0087034E"/>
    <w:rsid w:val="00D7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70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7034E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7034E"/>
    <w:rPr>
      <w:i/>
      <w:iCs/>
    </w:rPr>
  </w:style>
  <w:style w:type="character" w:styleId="Pogrubienie">
    <w:name w:val="Strong"/>
    <w:basedOn w:val="Domylnaczcionkaakapitu"/>
    <w:uiPriority w:val="22"/>
    <w:qFormat/>
    <w:rsid w:val="008703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70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7034E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7034E"/>
    <w:rPr>
      <w:i/>
      <w:iCs/>
    </w:rPr>
  </w:style>
  <w:style w:type="character" w:styleId="Pogrubienie">
    <w:name w:val="Strong"/>
    <w:basedOn w:val="Domylnaczcionkaakapitu"/>
    <w:uiPriority w:val="22"/>
    <w:qFormat/>
    <w:rsid w:val="008703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ijp.pl/?q=node/6379" TargetMode="External"/><Relationship Id="rId13" Type="http://schemas.openxmlformats.org/officeDocument/2006/relationships/hyperlink" Target="http://www.olijp.pl/?q=node/637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lijp.pl/?q=node/6377" TargetMode="External"/><Relationship Id="rId12" Type="http://schemas.openxmlformats.org/officeDocument/2006/relationships/hyperlink" Target="http://www.olijp.pl/?q=node/6378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olijp.pl/?q=node/6374" TargetMode="External"/><Relationship Id="rId11" Type="http://schemas.openxmlformats.org/officeDocument/2006/relationships/hyperlink" Target="http://www.olijp.pl/?q=node/6371" TargetMode="External"/><Relationship Id="rId5" Type="http://schemas.openxmlformats.org/officeDocument/2006/relationships/hyperlink" Target="https://www.olijp.pl/?q=node/4310" TargetMode="External"/><Relationship Id="rId15" Type="http://schemas.openxmlformats.org/officeDocument/2006/relationships/hyperlink" Target="http://www.olijp.pl/?q=node/6381" TargetMode="External"/><Relationship Id="rId10" Type="http://schemas.openxmlformats.org/officeDocument/2006/relationships/hyperlink" Target="http://www.olijp.pl/?q=node/63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lijp.pl/?q=node/6376" TargetMode="External"/><Relationship Id="rId14" Type="http://schemas.openxmlformats.org/officeDocument/2006/relationships/hyperlink" Target="https://olijp.pl/?q=node/638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Tak</dc:creator>
  <cp:lastModifiedBy>user</cp:lastModifiedBy>
  <cp:revision>2</cp:revision>
  <dcterms:created xsi:type="dcterms:W3CDTF">2019-09-15T19:28:00Z</dcterms:created>
  <dcterms:modified xsi:type="dcterms:W3CDTF">2019-09-15T19:28:00Z</dcterms:modified>
</cp:coreProperties>
</file>